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44d8ceef2f3419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PRIRODOSLOVNA  ŠKOLA KARLOVAC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824.650,68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949.039,58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800.606,92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917.695,57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24.043,76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31.344,01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120.406,86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21.464,96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120.406,86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89.062,85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razdoblju od 1.siječnja do 30. rujna 2025., prihodi poslovanja ostvareni su u ukupnom iznosu od 949.039,58 eura. Najznačajnije povećanje prihoda bilježi se na osnovi pomoći iz inozemstva te pomoći od subjekata unutar općeg proračuna, pri čemu se ta sredstva prvenstveno odnose na plaće zaposlenika. Također, značajan dio prihoda ostvario se od nadležnog proračuna za opremanje pedološkog laboratorija za usluge kemijske analize tla.
S druge strane, zabilježeno je smanjenje prihoda u nekoliko kategorija. Prihodi od upravnih i administrativnih pristojbi, pristojbi po posebnim propisima te naknada smanjeni su zbog činjenice da su u prethodnoj godini bila ostvarena sredstva od Euroherca za sanaciju štete na školi, što u promatranom razdoblju nije bilo prisutno. Također, smanjenje prihoda bilježi se i na prihodima od tekućih prijenosa između proračunskih korisnika istog proračuna, budući da Prirodoslovna škola Karlovac tijekom navedenog razdoblja nije bila uključena u nijedan oblik suradničkog projekta.
Ukupni rashodi poslovanja za isto razdoblje iznose 917.695,57 eura. Najznačajniji porast rashoda evidentiran je kod rashoda za zaposlene, što je posljedica povećanja plaća sukladno važećim propisima. Također, zabilježeno je značajno povećanje rashoda za nabavu nefinancijske imovine, posebice namještaja i uređaja potrebnih za opremanje pedološkog laboratorija za analizu tla, u ukupnom iznosu od 120.406,86 eura.
U promatranom razdoblju nije bilo ostvarenih primitaka ni izdataka od financijske imovine i zaduživanja.
Rezultat poslovanja za razdoblje od 1. siječnja do 30. rujna 2025. godine iskazuje višak prihoda poslovanja u iznosu od 31.344,01 eura, dok se s druge strane bilježi manjak prihoda od nefinancijske imovine u iznosu od 120.406,86 eura. Stoga, na kraju izvještajnog razdoblja, ukupan rezultat poslovanja iskazuje manjak prihoda i primitaka u iznosu od 89.062,85 eura.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824.650,68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949.039,58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pPr>
        <w:jc w:val="both"/>
        <w:pStyle w:val="Normal"/>
        <w:spacing w:line="240" w:lineRule="auto"/>
      </w:pPr>
      <w:r>
        <w:rPr>
          <w:sz w:val="24"/>
          <w:rFonts w:ascii="Times New Roman" w:hAnsi="Times New Roman"/>
        </w:rPr>
        <w:t>Prihodi poslovanja najvećim dijelom su prihodi – šifra 63 – Pomoći iz inozemstva i pomoći od subjekata unutar općeg proračuna, a odnosi se na plaće zaposlenika. Iznos je povećan (115,10%) u odnosu na prethodno razdoblje zbog povećanja plaća nakon stupanja novog Zakona o plaćama u državnim i javnim službama  i donošenja uredbe o koeficijentima u prethodnoj godini te također zbog povećanja osnovice od 6% od mjeseca veljače i rujna tekuće godine. Prihode poslovanja čine i prihodi od Osnivača (67), prihodi od prodaje proizvoda, robe i pruženih usluga (66) te prihodi od upravnih i administrativnih pristojbi i pristojbi po posebnim propisima.(65).</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709.002,27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714.002,74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pPr>
        <w:jc w:val="both"/>
        <w:pStyle w:val="Normal"/>
        <w:spacing w:line="240" w:lineRule="auto"/>
      </w:pPr>
      <w:r>
        <w:rPr>
          <w:sz w:val="24"/>
          <w:rFonts w:ascii="Times New Roman" w:hAnsi="Times New Roman"/>
        </w:rPr>
        <w:t>šifra 636 se odnosi na prihode od Ministarstva znanosti i obrazovanja  za rashode za zaposlene – plaće, pomoći, jubilarne nagrade, regres i otpremnine. Prethodne godine uvedena je  i uskrsnica u iznosu od 100,00 eura. Šifra 636 također obuhvaća prihode namijenjene za financiranje besplatnih obveznih udžbenika za učenike srednjih škola.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šifra 639 – iznos od prethodne godine - 3.509,08 eura – tekući prijenosi između proračunskih korisnika istog proračuna dobiven je od Ekonomske škole Karlovac za potrebe sudjelovanja u zajedničkom projektu: “4 rivers 4 you. Ove godine Prirodoslovna škola nije sudjelovala u nikakvom zajedničkom projektu.</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w:t>
            </w:r>
          </w:p>
        </w:tc>
      </w:tr>
    </w:tbl>
    <w:p>
      <w:pPr>
        <w:spacing w:before="0" w:after="0"/>
      </w:pPr>
    </w:p>
    <w:p>
      <w:pPr>
        <w:jc w:val="both"/>
        <w:pStyle w:val="Normal"/>
        <w:spacing w:line="240" w:lineRule="auto"/>
      </w:pPr>
      <w:r>
        <w:rPr>
          <w:sz w:val="24"/>
          <w:rFonts w:ascii="Times New Roman" w:hAnsi="Times New Roman"/>
        </w:rPr>
        <w:t>Prihodi od upravnih i administrativnih pristojbi, pristojbi po posebnim propisima i naknada – šifra 65 – u iznosu od 2.656,19 eura prethodne godine odnosi se na financijska sredstva dobivena od Euroherc osiguranja za troškove detektiranja i sanacije nastale štete i puknuća na vrelovodu škole.  Ove godine  sredstva se najvećim djelom odnose na prihode učeničke zadruge "Roda" od prodaje sadnica iz školskog plastenika za hidroponski uzgoj biljaka.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pPr>
        <w:jc w:val="both"/>
        <w:pStyle w:val="Normal"/>
        <w:spacing w:line="240" w:lineRule="auto"/>
      </w:pPr>
      <w:r>
        <w:rPr>
          <w:sz w:val="24"/>
          <w:rFonts w:ascii="Times New Roman" w:hAnsi="Times New Roman"/>
        </w:rPr>
        <w:t>Prihodi od prodaje proizvoda i robe te pruženih usluga, prihodi od donacija odnose se na prihode od obrazovanja odraslih, usluge analize tla te najma školske dvorane. U odnosu na prethodnu godinu iznos je veći (108,10%) zbog većih prihoda od najma dvorane i obrazovanja odraslih. Usluge analize tla su se koristile u manjem broju zbog radova i opremanja pedološkog laboratorija.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102.016,65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225.314,09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w:t>
            </w:r>
          </w:p>
        </w:tc>
      </w:tr>
    </w:tbl>
    <w:p>
      <w:pPr>
        <w:spacing w:before="0" w:after="0"/>
      </w:pPr>
    </w:p>
    <w:p>
      <w:pPr>
        <w:jc w:val="both"/>
        <w:pStyle w:val="Normal"/>
        <w:spacing w:line="240" w:lineRule="auto"/>
      </w:pPr>
      <w:r>
        <w:rPr>
          <w:sz w:val="24"/>
          <w:rFonts w:ascii="Times New Roman" w:hAnsi="Times New Roman"/>
        </w:rPr>
        <w:t>šifra 67  -  Prihodi iz nadležnog proračuna. U odnosu na isto razdoblje prethodne godine, prihodi su povećani za 220,9%, ponajprije zbog rasta cijena tekućih troškova poslovanja škole te kapitalnih ulaganja u opremanje pedološkog laboratorija za analizu tla. Tijekom prethodne godine dovršeni su građevinski radovi na uređenju pedološkog laboratorija, dok je u tekućoj godini izvršena isporuka namještaja i instrumenata, čime su okončani svi radovi i usluge vezani uz njegovo opremanje, za što je ukupno utrošeno 115.875,00 eura. Prethodnih godina povećao se interes za analizu tla te bi razvoj iste donijelo dodatne beneficije OPG-ovcima i poljoprivrednicima unutar županije.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800.606,92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917.695,57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pPr>
        <w:jc w:val="both"/>
        <w:pStyle w:val="Normal"/>
        <w:spacing w:line="240" w:lineRule="auto"/>
      </w:pPr>
      <w:r>
        <w:rPr>
          <w:sz w:val="24"/>
          <w:rFonts w:ascii="Times New Roman" w:hAnsi="Times New Roman"/>
        </w:rPr>
        <w:t>Ukupni rashodi i izdaci - povećani su za 114,60%. i najviše se odnose na rashode 31 – rashode za zaposlene zbog povećanja osnovice u mjesecu veljači i rujnu. Materijalni rashodi također bilježe porast uslijed povećanja cijena robe i usluga, rasta troškova energenata te dodatnih izdataka povezanih s radom plastenika za hidroponski uzgoj biljaka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593.362,55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689.238,77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pPr>
        <w:jc w:val="both"/>
        <w:pStyle w:val="Normal"/>
        <w:spacing w:line="240" w:lineRule="auto"/>
      </w:pPr>
      <w:r>
        <w:rPr>
          <w:sz w:val="24"/>
          <w:rFonts w:ascii="Times New Roman" w:hAnsi="Times New Roman"/>
        </w:rPr>
        <w:t>Rashodi za zaposlene obuhvaćaju rashode za plaće, ostale rashode za zaposlene te doprinose na plaće. U odnosu na prethodnu godinu, evidentirano je povećanje ukupnog iznosa uslijed stupanja na snagu novog Zakona o plaćama u državnim i javnim službama te donošenja Uredbe o koeficijentima tijekom prethodne godine, kao i zbog povećanja osnovice plaće za 6% u tekućoj godini.</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87.753,90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94.873,37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pPr>
        <w:jc w:val="both"/>
        <w:pStyle w:val="Normal"/>
        <w:spacing w:line="240" w:lineRule="auto"/>
      </w:pPr>
      <w:r>
        <w:rPr>
          <w:sz w:val="24"/>
          <w:rFonts w:ascii="Times New Roman" w:hAnsi="Times New Roman"/>
        </w:rPr>
        <w:t>Materijalni rashodi u tekućem razdoblju nešto su viši u odnosu na isto razdoblje prethodne godine, što je prvenstveno rezultat povećanja cijena energenata (posebice plina), povećane nabave materijala i usluga, kao i dodatnih troškova povezanih s grijanjem plastenika za hidroponski uzgoj biljaka.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804,1</w:t>
            </w:r>
          </w:p>
        </w:tc>
      </w:tr>
    </w:tbl>
    <w:p>
      <w:pPr>
        <w:spacing w:before="0" w:after="0"/>
      </w:pPr>
    </w:p>
    <w:p>
      <w:pPr>
        <w:jc w:val="both"/>
        <w:pStyle w:val="Normal"/>
        <w:spacing w:line="240" w:lineRule="auto"/>
      </w:pPr>
      <w:r>
        <w:rPr>
          <w:sz w:val="24"/>
          <w:rFonts w:ascii="Times New Roman" w:hAnsi="Times New Roman"/>
        </w:rPr>
        <w:t>Povećani troškovi pod ovom stavkom rezultat su većeg broja odslušanih webinara te stručnog osposobljavanja domara za upravljanje sustavima centralnog grijanja. Troškovi su opravdani potrebom za unaprjeđenjem stručnih znanja i kompetencija zaposlenika u skladu s tehničkim zahtjevima radnog mjesta.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29.605,05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w:t>
            </w:r>
          </w:p>
        </w:tc>
      </w:tr>
    </w:tbl>
    <w:p>
      <w:pPr>
        <w:spacing w:before="0" w:after="0"/>
      </w:pPr>
    </w:p>
    <w:p>
      <w:pPr>
        <w:jc w:val="both"/>
        <w:pStyle w:val="Normal"/>
        <w:spacing w:line="240" w:lineRule="auto"/>
      </w:pPr>
      <w:r>
        <w:rPr>
          <w:sz w:val="24"/>
          <w:rFonts w:ascii="Times New Roman" w:hAnsi="Times New Roman"/>
        </w:rPr>
        <w:t>Šifra 3223 bilježi povećanje rashoda (154,6%)  zbog  povećanja cijena energenata (posebice plina), kao i dodatnih troškova povezanih s grijanjem plastenika za hidroponski uzgoj biljaka.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w:t>
            </w:r>
          </w:p>
        </w:tc>
      </w:tr>
    </w:tbl>
    <w:p>
      <w:pPr>
        <w:spacing w:before="0" w:after="0"/>
      </w:pPr>
    </w:p>
    <w:p>
      <w:pPr>
        <w:jc w:val="both"/>
        <w:pStyle w:val="Normal"/>
        <w:spacing w:line="240" w:lineRule="auto"/>
      </w:pPr>
      <w:r>
        <w:rPr>
          <w:sz w:val="24"/>
          <w:rFonts w:ascii="Times New Roman" w:hAnsi="Times New Roman"/>
        </w:rPr>
        <w:t>Rashodi za usluge povećani su u odnosu na prethodno razdoblje (175,5%) zbog rashoda za prijevoz kontejnera namijenjenog pedološkom laboratoriju.</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1038,6</w:t>
            </w:r>
          </w:p>
        </w:tc>
      </w:tr>
    </w:tbl>
    <w:p>
      <w:pPr>
        <w:spacing w:before="0" w:after="0"/>
      </w:pPr>
    </w:p>
    <w:p>
      <w:pPr>
        <w:jc w:val="both"/>
        <w:pStyle w:val="Normal"/>
        <w:spacing w:line="240" w:lineRule="auto"/>
      </w:pPr>
      <w:r>
        <w:rPr>
          <w:sz w:val="24"/>
          <w:rFonts w:ascii="Times New Roman" w:hAnsi="Times New Roman"/>
        </w:rPr>
        <w:t>Šifra 3236 – rashodi su povećani zbog obavljenih sistematskih pregleda za 19 zaposlenika škole mlađih od 50 godina te obveznih zdravstvenih pregleda za pomoćnike u nastavi</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w:t>
            </w:r>
          </w:p>
        </w:tc>
      </w:tr>
    </w:tbl>
    <w:p>
      <w:pPr>
        <w:spacing w:before="0" w:after="0"/>
      </w:pPr>
    </w:p>
    <w:p>
      <w:pPr>
        <w:jc w:val="both"/>
        <w:pStyle w:val="Normal"/>
        <w:spacing w:line="240" w:lineRule="auto"/>
      </w:pPr>
      <w:r>
        <w:rPr>
          <w:sz w:val="24"/>
          <w:rFonts w:ascii="Times New Roman" w:hAnsi="Times New Roman"/>
        </w:rPr>
        <w:t>U odnosu na prethodno razdoblje, rashodi su manji jer do trenutka sastavljanja izvještaja još nisu zaprimljeni računi za usluge osiguranja.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pPr>
        <w:jc w:val="both"/>
        <w:pStyle w:val="Normal"/>
        <w:spacing w:line="240" w:lineRule="auto"/>
      </w:pPr>
      <w:r>
        <w:rPr>
          <w:sz w:val="24"/>
          <w:rFonts w:ascii="Times New Roman" w:hAnsi="Times New Roman"/>
        </w:rPr>
        <w:t>Prema okružnici ministarstva financija od 01.07.2024. račun za HRT pristojbu se evidentira na vrsti troška 32951, a ne više na 323311 (elektronski mediji) stoga je ove godine evidentirano povećanje spomenutog troška. (160,7%)</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w:t>
            </w:r>
          </w:p>
        </w:tc>
      </w:tr>
    </w:tbl>
    <w:p>
      <w:pPr>
        <w:spacing w:before="0" w:after="0"/>
      </w:pPr>
    </w:p>
    <w:p>
      <w:pPr>
        <w:jc w:val="both"/>
        <w:pStyle w:val="Normal"/>
        <w:spacing w:line="240" w:lineRule="auto"/>
      </w:pPr>
      <w:r>
        <w:rPr>
          <w:sz w:val="24"/>
          <w:rFonts w:ascii="Times New Roman" w:hAnsi="Times New Roman"/>
        </w:rPr>
        <w:t>Šifra 34 – financijski rashodi povećani su zbog rasta troškova bankovnih usluga te zbog izdataka vezanih uz zatvaranje računa škole uslijed zakonskog uvođenja jedinstvenog računa.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pPr>
        <w:jc w:val="both"/>
        <w:pStyle w:val="Normal"/>
        <w:spacing w:line="240" w:lineRule="auto"/>
      </w:pPr>
      <w:r>
        <w:rPr>
          <w:sz w:val="24"/>
          <w:rFonts w:ascii="Times New Roman" w:hAnsi="Times New Roman"/>
        </w:rPr>
        <w:t>Rashodi za nabavu higijenskih potrepština ove su godine niži u usporedbi s prethodnom godinom, što je rezultat smanjenog broja učenica.</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201.733,81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w:t>
            </w:r>
          </w:p>
        </w:tc>
      </w:tr>
    </w:tbl>
    <w:p>
      <w:pPr>
        <w:spacing w:before="0" w:after="0"/>
      </w:pPr>
    </w:p>
    <w:p>
      <w:pPr>
        <w:jc w:val="both"/>
        <w:pStyle w:val="Normal"/>
        <w:spacing w:line="240" w:lineRule="auto"/>
      </w:pPr>
      <w:r>
        <w:rPr>
          <w:sz w:val="24"/>
          <w:rFonts w:ascii="Times New Roman" w:hAnsi="Times New Roman"/>
        </w:rPr>
        <w:t>Šifra 9221 – višak prihoda poslovanja prenesen u tekućoj 2025. godini manji je u odnosu na prethodno razdoblje, zbog provedene raspodjele rezultata Odlukom Školskog odbora od 24. ožujka 2025. godine.</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Šifra 96 – obračunati prihodi poslovanja – nenaplaćeni u iznosu od 81.560,36 eura su znatno veći u odnosu na prethodno razdoblje jer se u ovoj godini uz obračun plaće zaposlenika knjiže i potraživanja za prihode. (16/96).</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Style w:val="Normal"/>
        <w:spacing w:line="240" w:lineRule="auto"/>
      </w:pPr>
      <w:r>
        <w:rPr>
          <w:sz w:val="24"/>
          <w:rFonts w:ascii="Times New Roman" w:hAnsi="Times New Roman"/>
        </w:rPr>
        <w:t>Odnosi se na nenaplaćena potraživanja od kupaca za najam školske dvorane.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120.406,86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560,9</w:t>
            </w:r>
          </w:p>
        </w:tc>
      </w:tr>
    </w:tbl>
    <w:p>
      <w:pPr>
        <w:spacing w:before="0" w:after="0"/>
      </w:pPr>
    </w:p>
    <w:p>
      <w:pPr>
        <w:jc w:val="both"/>
        <w:pStyle w:val="Normal"/>
        <w:spacing w:line="240" w:lineRule="auto"/>
      </w:pPr>
      <w:r>
        <w:rPr>
          <w:sz w:val="24"/>
          <w:rFonts w:ascii="Times New Roman" w:hAnsi="Times New Roman"/>
        </w:rPr>
        <w:t>Rashodi evidentirani pod ovom stavkom odnose se na izdatke koje je podmirio osnivač za opremanje pedološkog laboratorija za analizu tla, i to u iznosu od 37.125,00 eura za nabavu namještaja te 72.875,00 eura za nabavu instrumenata. Također, dio rashoda odnosi se i na nabavu lektirne građe te na rashode iz vlastitih sredstava za nabavu školskih klupa i stolica.</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72.028,91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Ukupni prihodi i primici za razdoblje iznose 949.039,58 eura, dok ukupni rashodi i izdaci iznose 1.038.102,43 eura, što rezultira manjkom od 89.062,85 eura. Umanjenjem za višak prihoda iz prethodne godine (17.033,94 eura), poslovni rezultat  za razdoblje od 1. siječnja do 30. rujna 2025. iskazuje manjak u iznosu od 72.028,91 eura. S obzirom na to da su ove godine ukinuti kontinuirani rashodi, plaće zaposlenika za mjesec rujan evidentirane su kao trošak, dok će pripadajući prihodi biti knjiženi naknadno, datumom isplate u listopadu. Također, dio tekućih računa za mjesec rujan još nije podmiren od strane osnivača. Iz navedenih razloga poslovanje Škole u ovom razdoblju privremeno iskazuje manjak prihoda poslovanja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74.398,28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Šifra 19 ne iskazuje iznose jer su u 2025. godini ukinuti kontinuirani rashodi koji su se odnosili na isplatu plaća, te se isti više ne evidentiraju kroz ovu proračunsku šifru.</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Sukladno zakonskom uvođenju jedinstvenog računa, žiro račun škole je zatvoren na dan 30. rujna 2025. godine, a sredstva u iznosu od 13.964,95 eura prebačena su na žiro račun Karlovačke županije.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1310255b6dd4cec" /></Relationships>
</file>