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d3b105917304581"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19100</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PRIRODOSLOVNA  ŠKOLA KARLOVAC</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544.529,95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610.839,67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112,2</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540.325,50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649.967,21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39.127,54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2.338,00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37.125,00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1587,9</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2.338,00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37.125,00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1587,9</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76.252,54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Prirodoslovna škola Karlovac je srednja strukovna škola i posluje u skladu sa Zakonom o odgoju i obrazovanju u osnovnoj i srednjoj školi te Statutom škole. Škola ostvaruje vlastite prihode putem najma školske športske dvorane, te obrazovanjem odraslih.
Djelatnost škole je i školski pedološki laboratorij koji se odvija u manjem opsegu (analize tla), prerada voća, povrća i prerada mlijeka i mliječnih proizvoda. Škola nije u sustavu poreza na dobit ni u sustavu poreza na dodanu vrijednost. Prirodoslovna škola vodi proračunsko računovodstvo prema Zakonu o proračunu i Pravilnikom o proračunskom računovodstvu i Računskom planu te financijska izvješća sastavlja sukladno Pravilniku o financijskom izvještavanju u proračunskom računovodstvu. Zakonski predstavnik Škole je Nenad Klasan, diplomirani inženjer. Financijske izvještaje je sastavila voditeljica računovodstva Irena Polović, mag.oec.
Ukupni prihodi i primici za razdoblje od 01.01.2025. - 30.06.2025. iznose  610.839,67 eura, a rashodi i izdaci 687.092,21 eura što čini manjak prihoda poslovanja u iznosu od 76.252,54 eura.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544.529,95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610.839,67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112,2</w:t>
            </w:r>
          </w:p>
        </w:tc>
      </w:tr>
    </w:tbl>
    <w:p>
      <w:pPr>
        <w:spacing w:before="0" w:after="0"/>
      </w:pPr>
    </w:p>
    <w:p>
      <w:pPr>
        <w:jc w:val="both"/>
        <w:pStyle w:val="Normal"/>
        <w:spacing w:line="240" w:lineRule="auto"/>
      </w:pPr>
      <w:r>
        <w:rPr>
          <w:sz w:val="24"/>
          <w:rFonts w:ascii="Times New Roman" w:hAnsi="Times New Roman"/>
        </w:rPr>
        <w:t>Prihodi poslovanja najvećim dijelom su prihodi – šifra 63 – Pomoći iz inozemstva i pomoći od subjekata unutar općeg proračuna, a odnosi se na plaće zaposlenika. Iznos je povećan (102,4%) u odnosu na prethodno razdoblje zbog povećanja plaća nakon stupanja novog Zakona o plaćama u državnim i javnim službama  i donošenja uredbe o koeficijentima u prethodnoj godini te također zbog povećanja osnovice od 3% od mjeseca veljače tekuće godine.
Prihode poslovanja čine i prihodi od Osnivača (67), prihodi od prodaje proizvoda, robe i pruženih usluga (66) te prihodi od upravnih i administrativnih pristojbi i pristojbi po posebnim propisima.(65).</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proračunskim korisnicima iz proračuna koji im nije nadležan (šifre 6361+6362)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467.891,45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482.785,84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103,2</w:t>
            </w:r>
          </w:p>
        </w:tc>
      </w:tr>
    </w:tbl>
    <w:p>
      <w:pPr>
        <w:spacing w:before="0" w:after="0"/>
      </w:pPr>
    </w:p>
    <w:p>
      <w:pPr>
        <w:jc w:val="both"/>
        <w:pStyle w:val="Normal"/>
        <w:spacing w:line="240" w:lineRule="auto"/>
      </w:pPr>
      <w:r>
        <w:rPr>
          <w:sz w:val="24"/>
          <w:rFonts w:ascii="Times New Roman" w:hAnsi="Times New Roman"/>
        </w:rPr>
        <w:t>šifra 636 se odnosi na prihode od MZO-a za rashode za zaposlene – plaće, pomoći, jubilarne, regres i otpremnine. Prethodne godine uvedena je  i uskrsnica u iznosu od 100,00 eura.</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Prijenosi između proračunskih korisnika istog proračuna (šifre 6391 do 6394)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3.509,08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šifra 639 – iznos od prethodne godine - 3.509,08 eura – tekući prijenosi između proračunskih korisnika istog proračuna dobiven je od Ekonomske škole Karlovac za potrebe sudjelovanja u zajedničkom projektu: “4 rivers 4 you. Projekt „4 rivers 4 you”  Ove godine Prirodoslovna škola nije sudjelovala u nikakvom zajedničkom projektu. </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upravnih i administrativnih pristojbi, pristojbi po posebnim propisima i naknada (šifre 651+652+653+654)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2.656,19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910,00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34,3</w:t>
            </w:r>
          </w:p>
        </w:tc>
      </w:tr>
    </w:tbl>
    <w:p>
      <w:pPr>
        <w:spacing w:before="0" w:after="0"/>
      </w:pPr>
    </w:p>
    <w:p>
      <w:pPr>
        <w:jc w:val="both"/>
        <w:pStyle w:val="Normal"/>
        <w:spacing w:line="240" w:lineRule="auto"/>
      </w:pPr>
      <w:r>
        <w:rPr>
          <w:sz w:val="24"/>
          <w:rFonts w:ascii="Times New Roman" w:hAnsi="Times New Roman"/>
        </w:rPr>
        <w:t>Prihodi od upravnih i administrativnih pristojbi, pristojbi po posebnim propisima i naknada – šifra 65 – u iznosu od 2.656,19 eura prethodne godine odnosi se na financijska sredstva dobivena od Euroherc osiguranja za troškove detektiranja i sanacije nastale štete i puknuća na vrelovodu škole.  Ove godine  sredstva se najvećim djelom odnose na prihode učeničke zadruge "Roda" od prodaje sadnica iz školskog plastenika za hidroponski uzgoj biljaka.</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 te pruženih usluga, prihodi od donacija te povrati po protestiranim jamstvima (šifre 661+663)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6.319,42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5.824,75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92,2</w:t>
            </w:r>
          </w:p>
        </w:tc>
      </w:tr>
    </w:tbl>
    <w:p>
      <w:pPr>
        <w:spacing w:before="0" w:after="0"/>
      </w:pPr>
    </w:p>
    <w:p>
      <w:pPr>
        <w:jc w:val="both"/>
        <w:pStyle w:val="Normal"/>
        <w:spacing w:line="240" w:lineRule="auto"/>
      </w:pPr>
      <w:r>
        <w:rPr>
          <w:sz w:val="24"/>
          <w:rFonts w:ascii="Times New Roman" w:hAnsi="Times New Roman"/>
        </w:rPr>
        <w:t> Prihodi od prodaje proizvoda i robe te pruženih usluga, prihodi od donacija odnose se na prihode od obrazovanja odraslih, usluge analize tla te najma školske dvorane. U odnosu na prethodnu godinu iznos je manji (92,2%) zbog manjeg broja korištenja usluge analize tla. Usluge su se manje koristile zbog radova i opremanja pedološkog laboratorija za analizu tla.</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i od HZZO-a na temelju ugovornih obveza (šifre 671+673)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64.153,81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121.319,08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189,1</w:t>
            </w:r>
          </w:p>
        </w:tc>
      </w:tr>
    </w:tbl>
    <w:p>
      <w:pPr>
        <w:spacing w:before="0" w:after="0"/>
      </w:pPr>
    </w:p>
    <w:p>
      <w:pPr>
        <w:jc w:val="both"/>
        <w:pStyle w:val="Normal"/>
        <w:spacing w:line="240" w:lineRule="auto"/>
      </w:pPr>
      <w:r>
        <w:rPr>
          <w:sz w:val="24"/>
          <w:rFonts w:ascii="Times New Roman" w:hAnsi="Times New Roman"/>
        </w:rPr>
        <w:t>šifra 67  -  Prihodi iz nadležnog proračuna. Prihodi su u odnosu na razdoblje prethodne godine veći (189,1%) zbog povećanih cijena i troškova škole te opremanja pedološkog laboratorija za analizu tla.
U prethodnoj godini završeni su radovi na uređenju laboratorija, a ove godine isporučena je oprema te su još ostali instrumenti čime bi se okončali svi radovi i usluge vezani za početak rada pedološkog laboratorija. Prethodnih godina povećao se interes za analizu tla te bi razvoj iste donijelo dodatne beneficije OPG-ovcima i poljoprivrednicima unutar županije.
</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540.325,50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649.967,21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120,3</w:t>
            </w:r>
          </w:p>
        </w:tc>
      </w:tr>
    </w:tbl>
    <w:p>
      <w:pPr>
        <w:spacing w:before="0" w:after="0"/>
      </w:pPr>
    </w:p>
    <w:p>
      <w:pPr>
        <w:jc w:val="both"/>
        <w:pStyle w:val="Normal"/>
        <w:spacing w:line="240" w:lineRule="auto"/>
      </w:pPr>
      <w:r>
        <w:rPr>
          <w:sz w:val="24"/>
          <w:rFonts w:ascii="Times New Roman" w:hAnsi="Times New Roman"/>
        </w:rPr>
        <w:t>Ukupni rashodi i izdaci - povećani su za 120,30%. i najviše se odnose na rashode 31 – rashode za zaposlene. Ostali rashodi se odnose na materijalne rashode.</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(bruto) (šifre 3111 do 3114)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391.365,10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478.779,24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122,3</w:t>
            </w:r>
          </w:p>
        </w:tc>
      </w:tr>
    </w:tbl>
    <w:p>
      <w:pPr>
        <w:spacing w:before="0" w:after="0"/>
      </w:pPr>
    </w:p>
    <w:p>
      <w:pPr>
        <w:jc w:val="both"/>
        <w:pStyle w:val="Normal"/>
        <w:spacing w:line="240" w:lineRule="auto"/>
      </w:pPr>
      <w:r>
        <w:rPr>
          <w:sz w:val="24"/>
          <w:rFonts w:ascii="Times New Roman" w:hAnsi="Times New Roman"/>
        </w:rPr>
        <w:t>Rashodi za zaposlene odnose se na rashode za plaće, ostale rashode za zaposlene i  doprinose na plaće. Iznos je povećan u odnosu na prethodnu godinu zbog povećanja plaća zbog stupanja novog Zakona o plaćama u državnim i javnim službama i donošenja uredbe o koeficijentima u prethodnoj godini te povećanja osnovice od 3% u tekućoj godini.</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Materijalni rashodi (šifre 321+322+323+324+325+329)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65.992,62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72.134,90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109,3</w:t>
            </w:r>
          </w:p>
        </w:tc>
      </w:tr>
    </w:tbl>
    <w:p>
      <w:pPr>
        <w:spacing w:before="0" w:after="0"/>
      </w:pPr>
    </w:p>
    <w:p>
      <w:pPr>
        <w:jc w:val="both"/>
        <w:pStyle w:val="Normal"/>
        <w:spacing w:line="240" w:lineRule="auto"/>
      </w:pPr>
      <w:r>
        <w:rPr>
          <w:sz w:val="24"/>
          <w:rFonts w:ascii="Times New Roman" w:hAnsi="Times New Roman"/>
        </w:rPr>
        <w:t>Materijalni rashodi  nešto su veći u odnosu na isto razdoblje prethodne godine. Povećanje rashoda nastalo je zbog zbog povećanja cijena energenata (plin) te nabave materijala i usluga.</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materijal i energiju (šifre 3221 do 3227)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29.796,30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36.486,16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122,5</w:t>
            </w:r>
          </w:p>
        </w:tc>
      </w:tr>
    </w:tbl>
    <w:p>
      <w:pPr>
        <w:spacing w:before="0" w:after="0"/>
      </w:pPr>
    </w:p>
    <w:p>
      <w:pPr>
        <w:jc w:val="both"/>
        <w:pStyle w:val="Normal"/>
        <w:spacing w:line="240" w:lineRule="auto"/>
      </w:pPr>
      <w:r>
        <w:rPr>
          <w:sz w:val="24"/>
          <w:rFonts w:ascii="Times New Roman" w:hAnsi="Times New Roman"/>
        </w:rPr>
        <w:t>Šifra 322 – rashodi za materijal i energiju povećani su u odnosu na prethodnu godinu  zbog povećanja cijena te veće potrošnje energije za školu.</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telefona, interneta, pošte i prijevoza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1.821,75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3.223,39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176,9</w:t>
            </w:r>
          </w:p>
        </w:tc>
      </w:tr>
    </w:tbl>
    <w:p>
      <w:pPr>
        <w:spacing w:before="0" w:after="0"/>
      </w:pPr>
    </w:p>
    <w:p>
      <w:pPr>
        <w:jc w:val="both"/>
        <w:pStyle w:val="Normal"/>
        <w:spacing w:line="240" w:lineRule="auto"/>
      </w:pPr>
      <w:r>
        <w:rPr>
          <w:sz w:val="24"/>
          <w:rFonts w:ascii="Times New Roman" w:hAnsi="Times New Roman"/>
        </w:rPr>
        <w:t>Usluge su povećane zbog većeg iznosa računa za usluge prijevoza kontejnera za pedološki laboratorij.</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Pristojbe i naknade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913,7</w:t>
            </w:r>
          </w:p>
        </w:tc>
      </w:tr>
    </w:tbl>
    <w:p>
      <w:pPr>
        <w:spacing w:before="0" w:after="0"/>
      </w:pPr>
    </w:p>
    <w:p>
      <w:pPr>
        <w:jc w:val="both"/>
        <w:pStyle w:val="Normal"/>
        <w:spacing w:line="240" w:lineRule="auto"/>
      </w:pPr>
      <w:r>
        <w:rPr>
          <w:sz w:val="24"/>
          <w:rFonts w:ascii="Times New Roman" w:hAnsi="Times New Roman"/>
        </w:rPr>
        <w:t>Prema okružnici ministarstva financija od 01.07.2024. račun za HRT pristojbu se evidentira na vrsti troška 32951, a ne više na 323311 (elektronski mediji) stoga je ove godine evidentirano povećanje spomenutog troška.</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 (šifre 3811 do 3813)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720,00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698,00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96,9</w:t>
            </w:r>
          </w:p>
        </w:tc>
      </w:tr>
    </w:tbl>
    <w:p>
      <w:pPr>
        <w:spacing w:before="0" w:after="0"/>
      </w:pPr>
    </w:p>
    <w:p>
      <w:pPr>
        <w:jc w:val="both"/>
        <w:pStyle w:val="Normal"/>
        <w:spacing w:line="240" w:lineRule="auto"/>
      </w:pPr>
      <w:r>
        <w:rPr>
          <w:sz w:val="24"/>
          <w:rFonts w:ascii="Times New Roman" w:hAnsi="Times New Roman"/>
        </w:rPr>
        <w:t>Odnosi se na nabavu higijenskih potrepština. Ove godine iznos je manji zbog manjeg broja učenica.</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Višak prihoda poslovanja - preneseni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201.733,81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17.033,94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8,4</w:t>
            </w:r>
          </w:p>
        </w:tc>
      </w:tr>
    </w:tbl>
    <w:p>
      <w:pPr>
        <w:spacing w:before="0" w:after="0"/>
      </w:pPr>
    </w:p>
    <w:p>
      <w:pPr>
        <w:jc w:val="both"/>
        <w:pStyle w:val="Normal"/>
        <w:spacing w:line="240" w:lineRule="auto"/>
      </w:pPr>
      <w:r>
        <w:rPr>
          <w:sz w:val="24"/>
          <w:rFonts w:ascii="Times New Roman" w:hAnsi="Times New Roman"/>
        </w:rPr>
        <w:t>8.	Šifra 9221 – višak prihoda poslovanja - preneseni je u tekućoj 2025. godini manji u odnosu na prethodno razdoblje jer je provedena raspodjela rezultata Odlukom Školskog odbora 24.03.2025. </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Obračunati prihodi poslovanja - nenaplaćeni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378,40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77.279,84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&gt;&gt;100</w:t>
            </w:r>
          </w:p>
        </w:tc>
      </w:tr>
    </w:tbl>
    <w:p>
      <w:pPr>
        <w:spacing w:before="0" w:after="0"/>
      </w:pPr>
    </w:p>
    <w:p>
      <w:pPr>
        <w:jc w:val="both"/>
        <w:pStyle w:val="Normal"/>
        <w:spacing w:line="240" w:lineRule="auto"/>
      </w:pPr>
      <w:r>
        <w:rPr>
          <w:sz w:val="24"/>
          <w:rFonts w:ascii="Times New Roman" w:hAnsi="Times New Roman"/>
        </w:rPr>
        <w:t>9.	Šifra 96 – obračunati prihodi poslovanja – nenaplaćeni u iznosu od 77.279,84 eura su znatno veći u odnosu na prethodno razdoblje jer se u ovoj godini uz obračun plaće zaposlenika knjiže i potraživanja za prihode. (16/96). </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 i pruženih usluga - nenaplaćeni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378,40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952,00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251,6</w:t>
            </w:r>
          </w:p>
        </w:tc>
      </w:tr>
    </w:tbl>
    <w:p>
      <w:pPr>
        <w:spacing w:before="0" w:after="0"/>
      </w:pPr>
    </w:p>
    <w:p>
      <w:pPr>
        <w:jc w:val="both"/>
        <w:pStyle w:val="Normal"/>
        <w:spacing w:line="240" w:lineRule="auto"/>
      </w:pPr>
      <w:r>
        <w:rPr>
          <w:sz w:val="24"/>
          <w:rFonts w:ascii="Times New Roman" w:hAnsi="Times New Roman"/>
        </w:rPr>
        <w:t>Odnosi se na nenaplaćena potraživanja od kupaca za najam školske dvorane.</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2.338,00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37.125,00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1587,9</w:t>
            </w:r>
          </w:p>
        </w:tc>
      </w:tr>
    </w:tbl>
    <w:p>
      <w:pPr>
        <w:spacing w:before="0" w:after="0"/>
      </w:pPr>
    </w:p>
    <w:p>
      <w:pPr>
        <w:jc w:val="both"/>
        <w:pStyle w:val="Normal"/>
        <w:spacing w:line="240" w:lineRule="auto"/>
      </w:pPr>
      <w:r>
        <w:rPr>
          <w:sz w:val="24"/>
          <w:rFonts w:ascii="Times New Roman" w:hAnsi="Times New Roman"/>
        </w:rPr>
        <w:t>Odnosi se na rashode plaćene od osnivača za opremanje pedološkog laboratorija za analizu tla.</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76.252,54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Zbog rashoda većih od prihoda, rezultat poslovanja za razdoblje 01.01.-30.06.2025. čini manjak u iznosu od 76.252,54. Obzirom da se se ove godine ukinuli kontinuirani rashodi, plaće zaposlenika za mjesec lipanj prikazane su kao trošak te će se prihod naknadno knjižiti datumom isplate u mjesecu srpnju. Iz tog razloga poslovanje Škole za ovo razdoblje pokazuje manjak prihoda poslovanja.</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Manjak prihoda i primitaka za pokriće u sljedećem razdoblju (šifre Y005 + '9222-9221' - X005 - '9221-9222'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Y006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59.218,60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Zbog rashoda većih od prihoda, rezultat poslovanja za razdoblje 01.01.-30.06.2025. čini manjak u iznosu od 76.252,54 eura koji se umanjuje od prenesenog viška iz 2024. godine u iznosu od 17.033,94  čime se dobiva konačni rezultat poslovanja, a to je manjak prihoda poslovanja u iznosu od 52.218,60 eura. </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novčanih sredstava na kraju izvještajnog razdoblja (šifre 11P + '11-dugov.' - '11-potraž.')</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11K</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17.100,46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17.074,82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99,9</w:t>
            </w:r>
          </w:p>
        </w:tc>
      </w:tr>
    </w:tbl>
    <w:p>
      <w:pPr>
        <w:spacing w:before="0" w:after="0"/>
      </w:pPr>
    </w:p>
    <w:p>
      <w:pPr>
        <w:jc w:val="both"/>
        <w:pStyle w:val="Normal"/>
        <w:spacing w:line="240" w:lineRule="auto"/>
      </w:pPr>
      <w:r>
        <w:rPr>
          <w:sz w:val="24"/>
          <w:rFonts w:ascii="Times New Roman" w:hAnsi="Times New Roman"/>
        </w:rPr>
        <w:t>šifra 11 Stanje novčanih sredstava na kraju izvještajnog razdoblja odnosi se na zbroj sredstava na transakcijskom računu i blagajne škole na dan 30.06.2025.</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obveza 1. siječnja (=stanju obveza iz Izvještaja o obvezama na 31. prosinca prethodne godine)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85.635,15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obveza na početku izvještajnog razdoblja jednako je stanju obveza 31.12.2024. godine – šifra V001 – 85.635,15.</w:t>
      </w:r>
    </w:p>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Međusobne obveze subjekata općeg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2.415,41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Odnosi se na obveze proračunskih korisnika za povrat u proračun - bolovanje HZZO.</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obveza na kraju izvještajnog razdoblja (šifre V001+V002-V004) i (šifre V007+V009)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87.117,30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obveza na kraju izvještajnog razdoblja (zbroj obveza na početku izvještajnog razdoblja i povećanja obveza umanjen za podmirene obveze do 30.06.2025.) – šifra V006 – iznosi 87.117,30 eura.  Nedospjele obveze iznose 87.105,69, a dospjele obveze iznose 11,61 eura.  Nedospjele obveze su međusobne obveze proračunskih korisnika - refundacije bolovanja (9,813,56 eura),  obveze za rashode poslovanja koji se odnose na plaće zaposlenika za mjesec lipanj 2025.g. (76.327,84 eura) koje dospijevaju 10. srpnja 2025. godine te rashode za tekuće račune za mjesec lipanj u iznosu od 964,29 eura, a kojima je valuta plaćanja u mjesecu srpnju.</w:t>
      </w:r>
    </w:p>
    <w:p/>
    <w:p>
      <w:pPr>
        <w:jc w:val="center"/>
        <w:pStyle w:val="Normal"/>
        <w:spacing w:line="240" w:lineRule="auto"/>
        <w:keepNext/>
      </w:pPr>
      <w:r>
        <w:rPr>
          <w:sz w:val="28"/>
          <w:rFonts w:ascii="Times New Roman" w:hAnsi="Times New Roman"/>
        </w:rPr>
        <w:t>Bilješka 25.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Dospjela obveza se odnosi na račun od Hrvatskog telekoma za telefonske usluge 05/2025. Račun je kasnije zaprimljen pa je kasnije i poslan i  plaćen od strane osnivača. Obveza je podmirena 04.07.2025.</w:t>
      </w:r>
    </w:p>
    <w:p/>
    <w:p>
      <w:pPr>
        <w:jc w:val="center"/>
        <w:pStyle w:val="Normal"/>
        <w:spacing w:line="240" w:lineRule="auto"/>
        <w:keepNext/>
      </w:pPr>
      <w:r>
        <w:rPr>
          <w:sz w:val="28"/>
          <w:rFonts w:ascii="Times New Roman" w:hAnsi="Times New Roman"/>
        </w:rPr>
        <w:t>Bilješka 26.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Međusobne obveze subjekata općeg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9.813,56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Odnosi se na obveze proračunskih korisnika za povrat u proračun - bolovanje HZZO - stanje na kraju izvještajnog razdoblja.</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26c3e6ebc8954b73" /></Relationships>
</file>